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3B" w:rsidRDefault="000D323B">
      <w:pPr>
        <w:rPr>
          <w:sz w:val="23"/>
          <w:szCs w:val="23"/>
        </w:rPr>
      </w:pPr>
    </w:p>
    <w:tbl>
      <w:tblPr>
        <w:tblStyle w:val="a5"/>
        <w:tblW w:w="93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40"/>
      </w:tblGrid>
      <w:tr w:rsidR="000D323B">
        <w:trPr>
          <w:trHeight w:val="129"/>
        </w:trPr>
        <w:tc>
          <w:tcPr>
            <w:tcW w:w="9340" w:type="dxa"/>
          </w:tcPr>
          <w:p w:rsidR="000D323B" w:rsidRDefault="005E5733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419100" cy="4762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D323B" w:rsidRDefault="005E57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Совет депутатов </w:t>
            </w:r>
          </w:p>
          <w:p w:rsidR="000D323B" w:rsidRDefault="005E57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муниципального образования Красноозерное сельское поселение </w:t>
            </w:r>
          </w:p>
          <w:p w:rsidR="000D323B" w:rsidRDefault="005E57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муниципального образования Приозер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ский муниципальный район </w:t>
            </w:r>
          </w:p>
          <w:p w:rsidR="000D323B" w:rsidRDefault="005E573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Ленинградской области.</w:t>
            </w:r>
          </w:p>
          <w:p w:rsidR="000D323B" w:rsidRDefault="000D323B">
            <w:pPr>
              <w:jc w:val="center"/>
              <w:rPr>
                <w:b/>
                <w:sz w:val="23"/>
                <w:szCs w:val="23"/>
              </w:rPr>
            </w:pPr>
          </w:p>
          <w:p w:rsidR="000D323B" w:rsidRDefault="005E5733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 Е Ш Е Н И Е</w:t>
            </w:r>
          </w:p>
          <w:p w:rsidR="000D323B" w:rsidRDefault="000D323B">
            <w:pPr>
              <w:jc w:val="center"/>
              <w:rPr>
                <w:sz w:val="23"/>
                <w:szCs w:val="23"/>
              </w:rPr>
            </w:pPr>
          </w:p>
        </w:tc>
      </w:tr>
    </w:tbl>
    <w:p w:rsidR="000D323B" w:rsidRDefault="000D323B">
      <w:pPr>
        <w:jc w:val="center"/>
        <w:rPr>
          <w:b/>
          <w:sz w:val="23"/>
          <w:szCs w:val="23"/>
        </w:rPr>
      </w:pPr>
    </w:p>
    <w:tbl>
      <w:tblPr>
        <w:tblStyle w:val="a6"/>
        <w:tblW w:w="59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920"/>
      </w:tblGrid>
      <w:tr w:rsidR="000D323B">
        <w:tc>
          <w:tcPr>
            <w:tcW w:w="5920" w:type="dxa"/>
          </w:tcPr>
          <w:p w:rsidR="000D323B" w:rsidRDefault="000D323B">
            <w:pPr>
              <w:rPr>
                <w:sz w:val="23"/>
                <w:szCs w:val="23"/>
              </w:rPr>
            </w:pPr>
            <w:bookmarkStart w:id="1" w:name="_gjdgxs" w:colFirst="0" w:colLast="0"/>
            <w:bookmarkEnd w:id="1"/>
          </w:p>
          <w:p w:rsidR="000D323B" w:rsidRDefault="005E573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«</w:t>
            </w:r>
            <w:r w:rsidR="0054718A">
              <w:rPr>
                <w:sz w:val="23"/>
                <w:szCs w:val="23"/>
              </w:rPr>
              <w:t>29</w:t>
            </w:r>
            <w:r>
              <w:rPr>
                <w:sz w:val="23"/>
                <w:szCs w:val="23"/>
              </w:rPr>
              <w:t>»</w:t>
            </w:r>
            <w:r w:rsidR="0054718A">
              <w:rPr>
                <w:sz w:val="23"/>
                <w:szCs w:val="23"/>
              </w:rPr>
              <w:t xml:space="preserve"> октября</w:t>
            </w:r>
            <w:r>
              <w:rPr>
                <w:sz w:val="23"/>
                <w:szCs w:val="23"/>
              </w:rPr>
              <w:t xml:space="preserve">  2021 года № </w:t>
            </w:r>
            <w:r w:rsidR="0054718A">
              <w:rPr>
                <w:sz w:val="23"/>
                <w:szCs w:val="23"/>
              </w:rPr>
              <w:t>98</w:t>
            </w:r>
          </w:p>
          <w:p w:rsidR="000D323B" w:rsidRDefault="000D323B">
            <w:pPr>
              <w:rPr>
                <w:sz w:val="23"/>
                <w:szCs w:val="23"/>
              </w:rPr>
            </w:pPr>
          </w:p>
          <w:p w:rsidR="000D323B" w:rsidRDefault="005E573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 внесении изменений в Решение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от «22» ноября 2017 года №123 «Об утверждении  Правил внешнего благоустройства, уборки и санитарного содержания территории  муниципального образования Красноозерное сельское поселение муниципального образования Приозерский муниципальный район Ленинградской области»</w:t>
            </w:r>
          </w:p>
          <w:p w:rsidR="000D323B" w:rsidRDefault="005E573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0D323B" w:rsidRDefault="005E5733">
      <w:pPr>
        <w:ind w:right="-28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</w:t>
      </w:r>
      <w:r w:rsidR="00296C2D"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               </w:t>
      </w:r>
      <w:proofErr w:type="gramStart"/>
      <w:r>
        <w:rPr>
          <w:sz w:val="23"/>
          <w:szCs w:val="23"/>
        </w:rPr>
        <w:t xml:space="preserve">В соответствии с Бюджетным кодексом Российской Федерации от 31.07.1998 № 145-ФЗ, Федеральным законом от 06.10.2003 №131-ФЗ «Об общих принципах организации местного самоуправления в Российской Федерации», Федеральным законом от 22.12.2020 №458-ФЗ "О внесении изменений в статью 52 Федерального закона "Об общих принципах организации местного самоуправления в Российской Федерации", Уставом </w:t>
      </w:r>
      <w:bookmarkStart w:id="2" w:name="30j0zll" w:colFirst="0" w:colLast="0"/>
      <w:bookmarkStart w:id="3" w:name="3dy6vkm" w:colFirst="0" w:colLast="0"/>
      <w:bookmarkStart w:id="4" w:name="1fob9te" w:colFirst="0" w:colLast="0"/>
      <w:bookmarkStart w:id="5" w:name="2et92p0" w:colFirst="0" w:colLast="0"/>
      <w:bookmarkStart w:id="6" w:name="3znysh7" w:colFirst="0" w:colLast="0"/>
      <w:bookmarkStart w:id="7" w:name="tyjcwt" w:colFirst="0" w:colLast="0"/>
      <w:bookmarkStart w:id="8" w:name="4d34og8" w:colFirst="0" w:colLast="0"/>
      <w:bookmarkStart w:id="9" w:name="1t3h5sf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sz w:val="23"/>
          <w:szCs w:val="23"/>
        </w:rPr>
        <w:t>муниципального образования Красноозерное сельское поселение муниципального образования Приозерский муниципальный район Ленинградской области, в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целях</w:t>
      </w:r>
      <w:proofErr w:type="gramEnd"/>
      <w:r>
        <w:rPr>
          <w:sz w:val="23"/>
          <w:szCs w:val="23"/>
        </w:rPr>
        <w:t xml:space="preserve"> определения правовых основ осуществления бюджетного процесса в муниципальном образовании Красноозерное сельское поселение и приведения муниципального правового акта в соответствие с действующим федеральным законодательством 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РЕШИЛ: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1. Внести в Решение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от «22» ноября 2017 года №123 «Об утверждении  Правил внешнего благоустройства, уборки и санитарного содержания территории  муниципального образования Красноозерное сельское поселение муниципального образования Приозерский муниципальный район Ленинградской области»: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Убрать пункты 12.1 ,12.2, 12.3 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1.2. Добавить следующие пункты: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12.1. Проектирование детских и спортивных площадок осуществляется в соответствии с действующими нормативными правовыми актами Российской Федерации, Ленинградской области, муниципальными правовыми актами, включая приказ Минстроя России № 897/</w:t>
      </w:r>
      <w:proofErr w:type="spellStart"/>
      <w:proofErr w:type="gramStart"/>
      <w:r>
        <w:rPr>
          <w:sz w:val="23"/>
          <w:szCs w:val="23"/>
        </w:rPr>
        <w:t>пр</w:t>
      </w:r>
      <w:proofErr w:type="spellEnd"/>
      <w:proofErr w:type="gram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Минспорта</w:t>
      </w:r>
      <w:proofErr w:type="spellEnd"/>
      <w:r>
        <w:rPr>
          <w:sz w:val="23"/>
          <w:szCs w:val="23"/>
        </w:rPr>
        <w:t xml:space="preserve">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инфраструктуры».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12.2. 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12.3. 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предусмотрено законом или договором.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12.4. Детские площадки предназначены для игр и активного отдыха детей разных возрастов: </w:t>
      </w:r>
      <w:proofErr w:type="spellStart"/>
      <w:r>
        <w:rPr>
          <w:sz w:val="23"/>
          <w:szCs w:val="23"/>
        </w:rPr>
        <w:t>преддошкольного</w:t>
      </w:r>
      <w:proofErr w:type="spellEnd"/>
      <w:r>
        <w:rPr>
          <w:sz w:val="23"/>
          <w:szCs w:val="23"/>
        </w:rPr>
        <w:t xml:space="preserve"> (до 3 лет), дошкольного (до 7 лет), младшего и среднего школьного возраста (7 - 12 лет).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Для детей и подростков (12 - 16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12.5. Детские площадки изолируются от транзитного пешеходного движения, проездов, разворотных площадок, гостевых стоянок автомобилей, площадок 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для установки мусоросборников.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12.6. Детские площадки должны отвечать требованиям: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ГОСТ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 52301-2013 «Национальный стандарт Российской Федерации. Оборудование и покрытия детских игровых площадок. Безопасность при эксплуатации. Общие требования» (утв. и </w:t>
      </w:r>
      <w:proofErr w:type="gramStart"/>
      <w:r>
        <w:rPr>
          <w:sz w:val="23"/>
          <w:szCs w:val="23"/>
        </w:rPr>
        <w:t>введен</w:t>
      </w:r>
      <w:proofErr w:type="gramEnd"/>
      <w:r>
        <w:rPr>
          <w:sz w:val="23"/>
          <w:szCs w:val="23"/>
        </w:rPr>
        <w:t xml:space="preserve"> в действие приказом </w:t>
      </w:r>
      <w:proofErr w:type="spellStart"/>
      <w:r>
        <w:rPr>
          <w:sz w:val="23"/>
          <w:szCs w:val="23"/>
        </w:rPr>
        <w:t>Росстандарта</w:t>
      </w:r>
      <w:proofErr w:type="spellEnd"/>
      <w:r>
        <w:rPr>
          <w:sz w:val="23"/>
          <w:szCs w:val="23"/>
        </w:rPr>
        <w:t xml:space="preserve"> от 24.06.2013 № 182-ст);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ГОСТ </w:t>
      </w: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 xml:space="preserve"> 52169-2012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</w:t>
      </w:r>
      <w:proofErr w:type="gramStart"/>
      <w:r>
        <w:rPr>
          <w:sz w:val="23"/>
          <w:szCs w:val="23"/>
        </w:rPr>
        <w:t>введен</w:t>
      </w:r>
      <w:proofErr w:type="gramEnd"/>
      <w:r>
        <w:rPr>
          <w:sz w:val="23"/>
          <w:szCs w:val="23"/>
        </w:rPr>
        <w:t xml:space="preserve"> в действие приказом </w:t>
      </w:r>
      <w:proofErr w:type="spellStart"/>
      <w:r>
        <w:rPr>
          <w:sz w:val="23"/>
          <w:szCs w:val="23"/>
        </w:rPr>
        <w:t>Росстандарта</w:t>
      </w:r>
      <w:proofErr w:type="spellEnd"/>
      <w:r>
        <w:rPr>
          <w:sz w:val="23"/>
          <w:szCs w:val="23"/>
        </w:rPr>
        <w:t xml:space="preserve"> от 23.11.2012).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12.7.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</w:t>
      </w:r>
      <w:proofErr w:type="spellStart"/>
      <w:r>
        <w:rPr>
          <w:sz w:val="23"/>
          <w:szCs w:val="23"/>
        </w:rPr>
        <w:t>застревание</w:t>
      </w:r>
      <w:proofErr w:type="spellEnd"/>
      <w:r>
        <w:rPr>
          <w:sz w:val="23"/>
          <w:szCs w:val="23"/>
        </w:rPr>
        <w:t xml:space="preserve">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12.8.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оборудования), а также учитывать: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возможность всесезонной эксплуатации;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дизайн и расцветку в зависимости от вида площадки, специализации функциональной зоны площадки;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удобство монтажа и эксплуатации;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возможность ремонта и (или) быстрой замены деталей и комплектующих оборудования;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12.9. Не рекомендуется оснащать территории населенных пунктов муниципального образования однотипным и однообразным, а также морально устаревшим в части дизайна и функционала оборудованием.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12.10. При выборе покрытия детских игровых площадок рекомендуется отдать предпочтение покрытиям, обладающим амортизирующими свойствами, для предотвращения </w:t>
      </w:r>
      <w:proofErr w:type="spellStart"/>
      <w:r>
        <w:rPr>
          <w:sz w:val="23"/>
          <w:szCs w:val="23"/>
        </w:rPr>
        <w:t>травмирования</w:t>
      </w:r>
      <w:proofErr w:type="spellEnd"/>
      <w:r>
        <w:rPr>
          <w:sz w:val="23"/>
          <w:szCs w:val="23"/>
        </w:rPr>
        <w:t xml:space="preserve"> детей при падении (использовать </w:t>
      </w:r>
      <w:proofErr w:type="spellStart"/>
      <w:r>
        <w:rPr>
          <w:sz w:val="23"/>
          <w:szCs w:val="23"/>
        </w:rPr>
        <w:t>ударопоглощающие</w:t>
      </w:r>
      <w:proofErr w:type="spellEnd"/>
      <w:r>
        <w:rPr>
          <w:sz w:val="23"/>
          <w:szCs w:val="23"/>
        </w:rPr>
        <w:t xml:space="preserve"> (мягкие) виды покрытия).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12.11. Осветительное оборудование должно функционировать в режиме освещения территории, на которой расположена площадка.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12.12. Все площадки должны быть обеспечены подъездами для инвалидов либо пандусами.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12.13. 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12.14. 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12.15. При создании и эксплуатации спортивных площадок учитываются следующие основные функциональные свойства: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разнообразие функциональных зон площадки;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защитные ограждения площадки);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количество элементов и виды оборудования;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антивандальность</w:t>
      </w:r>
      <w:proofErr w:type="spellEnd"/>
      <w:r>
        <w:rPr>
          <w:sz w:val="23"/>
          <w:szCs w:val="23"/>
        </w:rPr>
        <w:t xml:space="preserve"> оборудования;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всесезонная эксплуатация оборудования (возможно применение вспомогательного оборудования в виде навесов, шатров, павильонов);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привлекательный современный дизайн;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ремонтопригодность или возможность быстрой и недорогой замены сломанных элементов оборудования;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удобство в регулярном обслуживании площадки и уборке (включая отчистку площадки от снега).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12.16. 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12.17. 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 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12.18. Рекомендуется озеленение и ограждение площадки.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12.19. 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Озеленение размещается по периметру площадки на расстоянии не менее 2 м от края площадки.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ограждения </w:t>
      </w:r>
      <w:proofErr w:type="gramStart"/>
      <w:r>
        <w:rPr>
          <w:sz w:val="23"/>
          <w:szCs w:val="23"/>
        </w:rPr>
        <w:t>площадки</w:t>
      </w:r>
      <w:proofErr w:type="gramEnd"/>
      <w:r>
        <w:rPr>
          <w:sz w:val="23"/>
          <w:szCs w:val="23"/>
        </w:rPr>
        <w:t xml:space="preserve"> возможно применять вертикальное озеленение.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12.20. Площадки оборудуются ограждением высотой 2,5 - 3 м, а в местах примыкания спортивных площадок друг к другу - высотой не менее 1,2 м.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0D323B" w:rsidRDefault="005E573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12.21. Рекомендуется применять осветительные элементы, обладающие антивандальными свойствами.</w:t>
      </w:r>
    </w:p>
    <w:p w:rsidR="000D323B" w:rsidRDefault="005E5733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2.Настоящее решение вступает в силу с момента его официального опубликования и подлежит официальному опубликованию в сетевом информационном издании ЛЕНОБЛИНФОРМ.</w:t>
      </w:r>
    </w:p>
    <w:p w:rsidR="000D323B" w:rsidRDefault="005E5733">
      <w:pPr>
        <w:shd w:val="clear" w:color="auto" w:fill="FFFFFF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исполнением настоящего решения оставляю за собой. </w:t>
      </w:r>
    </w:p>
    <w:p w:rsidR="000D323B" w:rsidRDefault="000D323B">
      <w:pPr>
        <w:jc w:val="both"/>
        <w:rPr>
          <w:sz w:val="23"/>
          <w:szCs w:val="23"/>
          <w:highlight w:val="yellow"/>
        </w:rPr>
      </w:pPr>
    </w:p>
    <w:p w:rsidR="000D323B" w:rsidRDefault="005E5733">
      <w:pPr>
        <w:jc w:val="both"/>
        <w:rPr>
          <w:sz w:val="23"/>
          <w:szCs w:val="23"/>
        </w:rPr>
      </w:pPr>
      <w:r>
        <w:rPr>
          <w:sz w:val="23"/>
          <w:szCs w:val="23"/>
        </w:rPr>
        <w:t>Глава муниципального образования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М.И. </w:t>
      </w:r>
      <w:proofErr w:type="spellStart"/>
      <w:r>
        <w:rPr>
          <w:sz w:val="23"/>
          <w:szCs w:val="23"/>
        </w:rPr>
        <w:t>Каппушев</w:t>
      </w:r>
      <w:proofErr w:type="spellEnd"/>
    </w:p>
    <w:p w:rsidR="000D323B" w:rsidRDefault="000D323B">
      <w:pPr>
        <w:jc w:val="both"/>
        <w:rPr>
          <w:sz w:val="23"/>
          <w:szCs w:val="23"/>
        </w:rPr>
      </w:pPr>
    </w:p>
    <w:p w:rsidR="000D323B" w:rsidRDefault="000D323B">
      <w:pPr>
        <w:jc w:val="both"/>
        <w:rPr>
          <w:sz w:val="16"/>
          <w:szCs w:val="16"/>
        </w:rPr>
      </w:pPr>
    </w:p>
    <w:p w:rsidR="000D323B" w:rsidRDefault="000D323B">
      <w:pPr>
        <w:jc w:val="both"/>
        <w:rPr>
          <w:sz w:val="16"/>
          <w:szCs w:val="16"/>
        </w:rPr>
      </w:pPr>
    </w:p>
    <w:p w:rsidR="000D323B" w:rsidRDefault="000D323B">
      <w:pPr>
        <w:jc w:val="both"/>
        <w:rPr>
          <w:sz w:val="16"/>
          <w:szCs w:val="16"/>
        </w:rPr>
      </w:pPr>
    </w:p>
    <w:p w:rsidR="000D323B" w:rsidRDefault="000D323B">
      <w:pPr>
        <w:jc w:val="both"/>
        <w:rPr>
          <w:sz w:val="16"/>
          <w:szCs w:val="16"/>
        </w:rPr>
      </w:pPr>
    </w:p>
    <w:p w:rsidR="000D323B" w:rsidRDefault="000D323B">
      <w:pPr>
        <w:jc w:val="both"/>
        <w:rPr>
          <w:sz w:val="16"/>
          <w:szCs w:val="16"/>
        </w:rPr>
      </w:pPr>
    </w:p>
    <w:p w:rsidR="000D323B" w:rsidRDefault="000D323B">
      <w:pPr>
        <w:jc w:val="both"/>
        <w:rPr>
          <w:sz w:val="16"/>
          <w:szCs w:val="16"/>
        </w:rPr>
      </w:pPr>
    </w:p>
    <w:p w:rsidR="000D323B" w:rsidRDefault="000D323B">
      <w:pPr>
        <w:jc w:val="both"/>
        <w:rPr>
          <w:sz w:val="16"/>
          <w:szCs w:val="16"/>
        </w:rPr>
      </w:pPr>
    </w:p>
    <w:p w:rsidR="000D323B" w:rsidRDefault="000D323B">
      <w:pPr>
        <w:jc w:val="both"/>
        <w:rPr>
          <w:sz w:val="16"/>
          <w:szCs w:val="16"/>
        </w:rPr>
      </w:pPr>
    </w:p>
    <w:p w:rsidR="000D323B" w:rsidRDefault="000D323B">
      <w:pPr>
        <w:jc w:val="both"/>
        <w:rPr>
          <w:sz w:val="16"/>
          <w:szCs w:val="16"/>
        </w:rPr>
      </w:pPr>
    </w:p>
    <w:p w:rsidR="000D323B" w:rsidRDefault="000D323B">
      <w:pPr>
        <w:jc w:val="both"/>
        <w:rPr>
          <w:sz w:val="16"/>
          <w:szCs w:val="16"/>
        </w:rPr>
      </w:pPr>
    </w:p>
    <w:p w:rsidR="000D323B" w:rsidRDefault="000D323B">
      <w:pPr>
        <w:jc w:val="both"/>
        <w:rPr>
          <w:sz w:val="16"/>
          <w:szCs w:val="16"/>
        </w:rPr>
      </w:pPr>
    </w:p>
    <w:p w:rsidR="000D323B" w:rsidRDefault="005E573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Ребров И.В.  </w:t>
      </w:r>
    </w:p>
    <w:p w:rsidR="000D323B" w:rsidRDefault="005E5733">
      <w:pPr>
        <w:jc w:val="both"/>
        <w:rPr>
          <w:sz w:val="16"/>
          <w:szCs w:val="16"/>
        </w:rPr>
      </w:pPr>
      <w:r>
        <w:rPr>
          <w:sz w:val="16"/>
          <w:szCs w:val="16"/>
        </w:rPr>
        <w:t>тел.: 67-493</w:t>
      </w:r>
    </w:p>
    <w:p w:rsidR="000D323B" w:rsidRDefault="005E5733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Разослано: дело-2,  прокуратура-1.</w:t>
      </w:r>
      <w:r>
        <w:rPr>
          <w:sz w:val="16"/>
          <w:szCs w:val="16"/>
        </w:rPr>
        <w:tab/>
        <w:t xml:space="preserve">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</w:p>
    <w:sectPr w:rsidR="000D323B">
      <w:headerReference w:type="default" r:id="rId8"/>
      <w:pgSz w:w="11906" w:h="16838"/>
      <w:pgMar w:top="567" w:right="707" w:bottom="426" w:left="1440" w:header="397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B9" w:rsidRDefault="005E5733">
      <w:r>
        <w:separator/>
      </w:r>
    </w:p>
  </w:endnote>
  <w:endnote w:type="continuationSeparator" w:id="0">
    <w:p w:rsidR="001569B9" w:rsidRDefault="005E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B9" w:rsidRDefault="005E5733">
      <w:r>
        <w:separator/>
      </w:r>
    </w:p>
  </w:footnote>
  <w:footnote w:type="continuationSeparator" w:id="0">
    <w:p w:rsidR="001569B9" w:rsidRDefault="005E5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3B" w:rsidRDefault="000D32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:rsidR="000D323B" w:rsidRDefault="000D32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</w:p>
  <w:p w:rsidR="000D323B" w:rsidRDefault="000D32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323B"/>
    <w:rsid w:val="000D323B"/>
    <w:rsid w:val="001569B9"/>
    <w:rsid w:val="00296C2D"/>
    <w:rsid w:val="0054718A"/>
    <w:rsid w:val="005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ind w:firstLine="709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57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ind w:firstLine="709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57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5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1482</Words>
  <Characters>8451</Characters>
  <Application>Microsoft Office Word</Application>
  <DocSecurity>0</DocSecurity>
  <Lines>70</Lines>
  <Paragraphs>19</Paragraphs>
  <ScaleCrop>false</ScaleCrop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4</cp:revision>
  <cp:lastPrinted>2021-10-29T13:45:00Z</cp:lastPrinted>
  <dcterms:created xsi:type="dcterms:W3CDTF">2021-10-06T13:43:00Z</dcterms:created>
  <dcterms:modified xsi:type="dcterms:W3CDTF">2021-10-29T13:45:00Z</dcterms:modified>
</cp:coreProperties>
</file>